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7FAB" w14:textId="77777777" w:rsidR="00A020B1" w:rsidRPr="00C03041" w:rsidRDefault="00AB53BC" w:rsidP="00AB53BC">
      <w:pPr>
        <w:spacing w:line="240" w:lineRule="auto"/>
        <w:jc w:val="center"/>
        <w:rPr>
          <w:rFonts w:ascii="Georgia" w:hAnsi="Georgia"/>
          <w:sz w:val="88"/>
          <w:szCs w:val="88"/>
        </w:rPr>
      </w:pPr>
      <w:r w:rsidRPr="00C03041">
        <w:rPr>
          <w:rFonts w:ascii="Georgia" w:hAnsi="Georgia"/>
          <w:noProof/>
          <w:sz w:val="88"/>
          <w:szCs w:val="88"/>
        </w:rPr>
        <w:drawing>
          <wp:anchor distT="0" distB="0" distL="114300" distR="114300" simplePos="0" relativeHeight="251661312" behindDoc="0" locked="0" layoutInCell="1" allowOverlap="1" wp14:anchorId="57E27747" wp14:editId="2606C9B8">
            <wp:simplePos x="0" y="0"/>
            <wp:positionH relativeFrom="column">
              <wp:posOffset>27940</wp:posOffset>
            </wp:positionH>
            <wp:positionV relativeFrom="paragraph">
              <wp:posOffset>104775</wp:posOffset>
            </wp:positionV>
            <wp:extent cx="988060" cy="1304925"/>
            <wp:effectExtent l="0" t="0" r="2540" b="9525"/>
            <wp:wrapThrough wrapText="bothSides">
              <wp:wrapPolygon edited="0">
                <wp:start x="0" y="0"/>
                <wp:lineTo x="0" y="21442"/>
                <wp:lineTo x="21239" y="21442"/>
                <wp:lineTo x="212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-NC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B1" w:rsidRPr="00C03041">
        <w:rPr>
          <w:rFonts w:ascii="Georgia" w:hAnsi="Georgia"/>
          <w:sz w:val="88"/>
          <w:szCs w:val="88"/>
        </w:rPr>
        <w:t>Civic Index</w:t>
      </w:r>
      <w:r w:rsidR="005D49DF" w:rsidRPr="00C03041">
        <w:rPr>
          <w:rFonts w:ascii="Georgia" w:hAnsi="Georgia"/>
          <w:sz w:val="88"/>
          <w:szCs w:val="88"/>
        </w:rPr>
        <w:t xml:space="preserve"> Quick Quiz</w:t>
      </w:r>
    </w:p>
    <w:p w14:paraId="2BF49D30" w14:textId="77777777" w:rsidR="00A020B1" w:rsidRPr="00C03041" w:rsidRDefault="00ED1E2D" w:rsidP="003C3C7D">
      <w:pPr>
        <w:spacing w:line="240" w:lineRule="auto"/>
        <w:jc w:val="both"/>
        <w:rPr>
          <w:rFonts w:ascii="ColaborateLight" w:hAnsi="ColaborateLight"/>
        </w:rPr>
      </w:pPr>
      <w:r w:rsidRPr="00C03041">
        <w:rPr>
          <w:rFonts w:ascii="Georgia" w:hAnsi="Georgia" w:cs="Aharoni"/>
          <w:sz w:val="21"/>
          <w:szCs w:val="21"/>
        </w:rPr>
        <w:t>Based on more than 25 years of testing and refinement</w:t>
      </w:r>
      <w:r w:rsidR="00E22D19">
        <w:rPr>
          <w:rFonts w:ascii="Georgia" w:hAnsi="Georgia" w:cs="Aharoni"/>
          <w:sz w:val="21"/>
          <w:szCs w:val="21"/>
        </w:rPr>
        <w:t>,</w:t>
      </w:r>
      <w:r w:rsidRPr="00C03041">
        <w:rPr>
          <w:rFonts w:ascii="Georgia" w:hAnsi="Georgia" w:cs="Aharoni"/>
          <w:sz w:val="21"/>
          <w:szCs w:val="21"/>
        </w:rPr>
        <w:t xml:space="preserve"> the National Civic League’s Civic Index is an effective way to examine </w:t>
      </w:r>
      <w:r w:rsidR="00A020B1" w:rsidRPr="00C03041">
        <w:rPr>
          <w:rFonts w:ascii="Georgia" w:hAnsi="Georgia" w:cs="Aharoni"/>
          <w:sz w:val="21"/>
          <w:szCs w:val="21"/>
        </w:rPr>
        <w:t xml:space="preserve">the infrastructure and elements that make for strong, resilient, innovative communities. </w:t>
      </w:r>
      <w:r w:rsidR="00C72F94" w:rsidRPr="00C03041">
        <w:rPr>
          <w:rFonts w:ascii="Georgia" w:hAnsi="Georgia" w:cs="Aharoni"/>
          <w:sz w:val="21"/>
          <w:szCs w:val="21"/>
        </w:rPr>
        <w:t xml:space="preserve">This quick quiz </w:t>
      </w:r>
      <w:r w:rsidRPr="00C03041">
        <w:rPr>
          <w:rFonts w:ascii="Georgia" w:hAnsi="Georgia" w:cs="Aharoni"/>
          <w:sz w:val="21"/>
          <w:szCs w:val="21"/>
        </w:rPr>
        <w:t xml:space="preserve">– based on the </w:t>
      </w:r>
      <w:r w:rsidR="00E22D19">
        <w:rPr>
          <w:rFonts w:ascii="Georgia" w:hAnsi="Georgia" w:cs="Aharoni"/>
          <w:sz w:val="21"/>
          <w:szCs w:val="21"/>
        </w:rPr>
        <w:t xml:space="preserve">more detailed </w:t>
      </w:r>
      <w:r w:rsidRPr="00C03041">
        <w:rPr>
          <w:rFonts w:ascii="Georgia" w:hAnsi="Georgia" w:cs="Aharoni"/>
          <w:sz w:val="21"/>
          <w:szCs w:val="21"/>
        </w:rPr>
        <w:t xml:space="preserve">Civic Index – is a powerful tool for uncovering </w:t>
      </w:r>
      <w:r w:rsidR="00E22D19">
        <w:rPr>
          <w:rFonts w:ascii="Georgia" w:hAnsi="Georgia" w:cs="Aharoni"/>
          <w:sz w:val="21"/>
          <w:szCs w:val="21"/>
        </w:rPr>
        <w:t xml:space="preserve">community </w:t>
      </w:r>
      <w:r w:rsidRPr="00C03041">
        <w:rPr>
          <w:rFonts w:ascii="Georgia" w:hAnsi="Georgia" w:cs="Aharoni"/>
          <w:sz w:val="21"/>
          <w:szCs w:val="21"/>
        </w:rPr>
        <w:t xml:space="preserve">strengths </w:t>
      </w:r>
      <w:r w:rsidR="00E22D19">
        <w:rPr>
          <w:rFonts w:ascii="Georgia" w:hAnsi="Georgia" w:cs="Aharoni"/>
          <w:sz w:val="21"/>
          <w:szCs w:val="21"/>
        </w:rPr>
        <w:t xml:space="preserve">and </w:t>
      </w:r>
      <w:r w:rsidRPr="00C03041">
        <w:rPr>
          <w:rFonts w:ascii="Georgia" w:hAnsi="Georgia" w:cs="Aharoni"/>
          <w:sz w:val="21"/>
          <w:szCs w:val="21"/>
        </w:rPr>
        <w:t xml:space="preserve">areas in need of improvement. Use </w:t>
      </w:r>
      <w:r w:rsidR="00E22D19">
        <w:rPr>
          <w:rFonts w:ascii="Georgia" w:hAnsi="Georgia" w:cs="Aharoni"/>
          <w:sz w:val="21"/>
          <w:szCs w:val="21"/>
        </w:rPr>
        <w:t xml:space="preserve">this </w:t>
      </w:r>
      <w:r w:rsidRPr="00C03041">
        <w:rPr>
          <w:rFonts w:ascii="Georgia" w:hAnsi="Georgia" w:cs="Aharoni"/>
          <w:sz w:val="21"/>
          <w:szCs w:val="21"/>
        </w:rPr>
        <w:t xml:space="preserve">with staff, partners, clients and diverse residents to develop a clearer picture of how they see the community. </w:t>
      </w:r>
      <w:r w:rsidR="00E22D19">
        <w:rPr>
          <w:rFonts w:ascii="Georgia" w:hAnsi="Georgia" w:cs="Aharoni"/>
          <w:sz w:val="21"/>
          <w:szCs w:val="21"/>
        </w:rPr>
        <w:t>T</w:t>
      </w:r>
      <w:r w:rsidRPr="00C03041">
        <w:rPr>
          <w:rFonts w:ascii="Georgia" w:hAnsi="Georgia" w:cs="Aharoni"/>
          <w:sz w:val="21"/>
          <w:szCs w:val="21"/>
        </w:rPr>
        <w:t xml:space="preserve">ake what you learn to identify areas for </w:t>
      </w:r>
      <w:r w:rsidR="00C72F94" w:rsidRPr="00C03041">
        <w:rPr>
          <w:rFonts w:ascii="Georgia" w:hAnsi="Georgia" w:cs="Aharoni"/>
          <w:sz w:val="21"/>
          <w:szCs w:val="21"/>
        </w:rPr>
        <w:t>focused, strategic action to reinforce strengths and address key challenges.</w:t>
      </w:r>
      <w:r w:rsidR="00DF0FC7" w:rsidRPr="00C03041">
        <w:rPr>
          <w:rFonts w:ascii="Georgia" w:hAnsi="Georgia" w:cs="Aharoni"/>
          <w:sz w:val="21"/>
          <w:szCs w:val="21"/>
        </w:rPr>
        <w:t xml:space="preserve"> </w:t>
      </w:r>
    </w:p>
    <w:tbl>
      <w:tblPr>
        <w:tblStyle w:val="TableGrid"/>
        <w:tblpPr w:leftFromText="144" w:rightFromText="144" w:vertAnchor="text" w:horzAnchor="margin" w:tblpY="145"/>
        <w:tblOverlap w:val="never"/>
        <w:tblW w:w="10795" w:type="dxa"/>
        <w:tblBorders>
          <w:lef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5"/>
        <w:gridCol w:w="1046"/>
        <w:gridCol w:w="1046"/>
        <w:gridCol w:w="1046"/>
        <w:gridCol w:w="1046"/>
        <w:gridCol w:w="1046"/>
      </w:tblGrid>
      <w:tr w:rsidR="000D6ECE" w:rsidRPr="00C03041" w14:paraId="0A666E39" w14:textId="77777777" w:rsidTr="006437C3">
        <w:trPr>
          <w:trHeight w:val="1033"/>
        </w:trPr>
        <w:tc>
          <w:tcPr>
            <w:tcW w:w="5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23EFAA6" w14:textId="77777777" w:rsidR="000D6ECE" w:rsidRPr="00C03041" w:rsidRDefault="000D6ECE" w:rsidP="003C3C7D">
            <w:pPr>
              <w:rPr>
                <w:rFonts w:ascii="Georgia" w:hAnsi="Georgia"/>
                <w:spacing w:val="2"/>
                <w:sz w:val="20"/>
                <w:szCs w:val="20"/>
              </w:rPr>
            </w:pPr>
          </w:p>
          <w:p w14:paraId="2522A5B2" w14:textId="77777777" w:rsidR="000D6ECE" w:rsidRPr="00C03041" w:rsidRDefault="000D6ECE" w:rsidP="003C3C7D">
            <w:pPr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spacing w:val="2"/>
                <w:sz w:val="20"/>
                <w:szCs w:val="20"/>
              </w:rPr>
              <w:t>Rate how well developed each of the civic infrastructure elements are within your community.</w:t>
            </w:r>
            <w:r w:rsidR="00C029CA" w:rsidRPr="00C03041">
              <w:rPr>
                <w:rFonts w:ascii="Georgia" w:hAnsi="Georgia"/>
                <w:spacing w:val="2"/>
                <w:sz w:val="20"/>
                <w:szCs w:val="20"/>
              </w:rPr>
              <w:t xml:space="preserve"> </w:t>
            </w:r>
            <w:r w:rsidRPr="00C03041">
              <w:rPr>
                <w:rFonts w:ascii="Georgia" w:hAnsi="Georgia"/>
                <w:spacing w:val="2"/>
                <w:sz w:val="20"/>
                <w:szCs w:val="20"/>
              </w:rPr>
              <w:t>Remember to consider the entire community.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3D3B6D03" w14:textId="77777777" w:rsidR="000D6ECE" w:rsidRPr="00C03041" w:rsidRDefault="000D6ECE" w:rsidP="003C3C7D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</w:p>
          <w:p w14:paraId="2BD1F3A4" w14:textId="77777777" w:rsidR="000D6ECE" w:rsidRPr="00C03041" w:rsidRDefault="000D6ECE" w:rsidP="003C3C7D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 don't have this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07CB578" w14:textId="77777777" w:rsidR="000D6ECE" w:rsidRPr="00C03041" w:rsidRDefault="000D6ECE" w:rsidP="003C3C7D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 xml:space="preserve">We talk about it but haven’t taken action to build it 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B4A7CBC" w14:textId="77777777" w:rsidR="000D6ECE" w:rsidRPr="00C03041" w:rsidRDefault="000D6ECE" w:rsidP="003C3C7D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We’re working on it – we’ve taken steps to build this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39FFE5B" w14:textId="77777777" w:rsidR="000D6ECE" w:rsidRPr="00C03041" w:rsidRDefault="000D6ECE" w:rsidP="003C3C7D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 have a number of good examples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EDBC88" w14:textId="77777777" w:rsidR="000D6ECE" w:rsidRPr="00C03041" w:rsidRDefault="000D6ECE" w:rsidP="003C3C7D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 have many great examples across the community</w:t>
            </w:r>
          </w:p>
        </w:tc>
      </w:tr>
      <w:tr w:rsidR="000D6ECE" w:rsidRPr="00C03041" w14:paraId="755118DB" w14:textId="77777777" w:rsidTr="006437C3">
        <w:trPr>
          <w:trHeight w:val="223"/>
        </w:trPr>
        <w:tc>
          <w:tcPr>
            <w:tcW w:w="107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69F38C2" w14:textId="77777777" w:rsidR="000D6ECE" w:rsidRPr="00C03041" w:rsidRDefault="000D6ECE" w:rsidP="00E756AC">
            <w:pPr>
              <w:spacing w:before="120" w:after="120"/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b/>
                <w:spacing w:val="2"/>
                <w:sz w:val="24"/>
                <w:szCs w:val="24"/>
              </w:rPr>
              <w:t>Community Leadership</w:t>
            </w:r>
          </w:p>
        </w:tc>
      </w:tr>
      <w:tr w:rsidR="000D6ECE" w:rsidRPr="00C03041" w14:paraId="30788577" w14:textId="77777777" w:rsidTr="003C3C7D">
        <w:trPr>
          <w:trHeight w:val="375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4333741B" w14:textId="77777777" w:rsidR="000D6ECE" w:rsidRPr="00C03041" w:rsidRDefault="00A7330C" w:rsidP="00BC6D18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18"/>
              </w:rPr>
            </w:pPr>
            <w:r w:rsidRPr="00A7330C">
              <w:rPr>
                <w:rFonts w:ascii="Verdana" w:hAnsi="Verdana"/>
                <w:bCs/>
                <w:spacing w:val="2"/>
                <w:sz w:val="18"/>
                <w:szCs w:val="18"/>
              </w:rPr>
              <w:t>Our community has a wealth of respected and trusted leaders, across different sectors, whom we can trust to put the community first.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27FA150A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005E352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CEE8D97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6BABAAA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6497D94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7585DE95" w14:textId="77777777" w:rsidTr="003C3C7D">
        <w:trPr>
          <w:trHeight w:val="187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1AA4F0F0" w14:textId="77777777" w:rsidR="000D6ECE" w:rsidRPr="00C03041" w:rsidRDefault="00A7330C" w:rsidP="00E756AC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18"/>
              </w:rPr>
            </w:pPr>
            <w:r w:rsidRPr="00A7330C">
              <w:rPr>
                <w:rFonts w:ascii="Verdana" w:hAnsi="Verdana"/>
                <w:bCs/>
                <w:spacing w:val="2"/>
                <w:sz w:val="18"/>
                <w:szCs w:val="18"/>
              </w:rPr>
              <w:t>We have clear opportunities for residents of all ages, backgrounds, beliefs, and abilities to take on leadership roles.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44BBDE56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64D5717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01302F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466AB02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31BB324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758934DE" w14:textId="77777777" w:rsidTr="006437C3">
        <w:trPr>
          <w:trHeight w:val="66"/>
        </w:trPr>
        <w:tc>
          <w:tcPr>
            <w:tcW w:w="556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BB8EAD3" w14:textId="77777777" w:rsidR="000D6ECE" w:rsidRPr="00C03041" w:rsidRDefault="00A7330C" w:rsidP="00E756AC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18"/>
              </w:rPr>
            </w:pPr>
            <w:r w:rsidRPr="00A7330C">
              <w:rPr>
                <w:rFonts w:ascii="Verdana" w:hAnsi="Verdana"/>
                <w:bCs/>
                <w:spacing w:val="2"/>
                <w:sz w:val="18"/>
                <w:szCs w:val="18"/>
              </w:rPr>
              <w:t>Our leadership programs develop and encourage emerging leaders who reflect the full diversity of our community including age, ethnicity, gender, religion, income and sexual orientation.</w:t>
            </w:r>
            <w:bookmarkStart w:id="0" w:name="_GoBack"/>
            <w:bookmarkEnd w:id="0"/>
          </w:p>
        </w:tc>
        <w:tc>
          <w:tcPr>
            <w:tcW w:w="1046" w:type="dxa"/>
            <w:tcBorders>
              <w:left w:val="single" w:sz="12" w:space="0" w:color="auto"/>
              <w:bottom w:val="single" w:sz="4" w:space="0" w:color="auto"/>
            </w:tcBorders>
          </w:tcPr>
          <w:p w14:paraId="70155B52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7E5D3B3E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59B6AD70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50287B87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double" w:sz="4" w:space="0" w:color="auto"/>
            </w:tcBorders>
          </w:tcPr>
          <w:p w14:paraId="3C17BBB7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377478EA" w14:textId="77777777" w:rsidTr="006437C3">
        <w:trPr>
          <w:trHeight w:val="223"/>
        </w:trPr>
        <w:tc>
          <w:tcPr>
            <w:tcW w:w="107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BBE1D3D" w14:textId="77777777" w:rsidR="000D6ECE" w:rsidRPr="00C03041" w:rsidRDefault="000D6ECE" w:rsidP="00E756AC">
            <w:pPr>
              <w:spacing w:before="120" w:after="120"/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b/>
                <w:spacing w:val="2"/>
                <w:sz w:val="24"/>
                <w:szCs w:val="24"/>
              </w:rPr>
              <w:t xml:space="preserve">Public Participation and Civic Engagement </w:t>
            </w:r>
          </w:p>
        </w:tc>
      </w:tr>
      <w:tr w:rsidR="000D6ECE" w:rsidRPr="00C03041" w14:paraId="3CA542DD" w14:textId="77777777" w:rsidTr="003C3C7D">
        <w:trPr>
          <w:trHeight w:val="574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0A4F74FD" w14:textId="77777777" w:rsidR="000D6ECE" w:rsidRPr="00C03041" w:rsidRDefault="000D6ECE" w:rsidP="00E756AC">
            <w:pPr>
              <w:pStyle w:val="ListParagraph"/>
              <w:numPr>
                <w:ilvl w:val="0"/>
                <w:numId w:val="2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 culture of engagement where diverse residents attend and actively participate in public planning, decision-making and problem-solving efforts. 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2547C86E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DE0F87B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AA95C54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E47CD98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03A71A36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490F9B74" w14:textId="77777777" w:rsidTr="003C3C7D">
        <w:trPr>
          <w:trHeight w:val="563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2B02E96F" w14:textId="77777777" w:rsidR="000D6ECE" w:rsidRPr="00C03041" w:rsidRDefault="000D6ECE" w:rsidP="00E756AC">
            <w:pPr>
              <w:pStyle w:val="ListParagraph"/>
              <w:numPr>
                <w:ilvl w:val="0"/>
                <w:numId w:val="2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 community expectation that 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nonprofits and government will use resident engagement to shape and inform key actions. 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29C2164D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5DE4CA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0C309EB5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0454405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3C4F4B7C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643F7A83" w14:textId="77777777" w:rsidTr="003C3C7D">
        <w:trPr>
          <w:trHeight w:val="574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76CB8EF3" w14:textId="77777777" w:rsidR="000D6ECE" w:rsidRPr="00C03041" w:rsidRDefault="000D6ECE" w:rsidP="00E756AC">
            <w:pPr>
              <w:pStyle w:val="ListParagraph"/>
              <w:numPr>
                <w:ilvl w:val="0"/>
                <w:numId w:val="2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Numerous opportunities for residents to engage leaders and one another in face-to-face conversations about 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>their interests</w:t>
            </w:r>
            <w:r w:rsidR="00D22F8D" w:rsidRPr="00C03041">
              <w:rPr>
                <w:rFonts w:ascii="Verdana" w:hAnsi="Verdana"/>
                <w:spacing w:val="2"/>
                <w:sz w:val="18"/>
                <w:szCs w:val="20"/>
              </w:rPr>
              <w:t>,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 concerns, and aspirations.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7A37E9F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E18E73A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C6B8532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3E1A2E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72348782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71276E64" w14:textId="77777777" w:rsidTr="006437C3">
        <w:trPr>
          <w:trHeight w:val="356"/>
        </w:trPr>
        <w:tc>
          <w:tcPr>
            <w:tcW w:w="556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24BF031" w14:textId="77777777" w:rsidR="000D6ECE" w:rsidRPr="00C03041" w:rsidRDefault="000D6ECE" w:rsidP="00E756AC">
            <w:pPr>
              <w:pStyle w:val="ListParagraph"/>
              <w:numPr>
                <w:ilvl w:val="0"/>
                <w:numId w:val="2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A community culture where community members and leaders can passionately disagree without turning to personal attacks or derailing public discussion.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4" w:space="0" w:color="auto"/>
            </w:tcBorders>
          </w:tcPr>
          <w:p w14:paraId="664A8AA0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54B4FBA8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3E274C93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04B17680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double" w:sz="4" w:space="0" w:color="auto"/>
            </w:tcBorders>
          </w:tcPr>
          <w:p w14:paraId="271BD0D6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20D3C942" w14:textId="77777777" w:rsidTr="006437C3">
        <w:trPr>
          <w:trHeight w:val="234"/>
        </w:trPr>
        <w:tc>
          <w:tcPr>
            <w:tcW w:w="107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0C2EB91" w14:textId="77777777" w:rsidR="000D6ECE" w:rsidRPr="00C03041" w:rsidRDefault="000D6ECE" w:rsidP="00E756AC">
            <w:pPr>
              <w:spacing w:before="120" w:after="120"/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b/>
                <w:spacing w:val="2"/>
                <w:sz w:val="24"/>
                <w:szCs w:val="24"/>
              </w:rPr>
              <w:t xml:space="preserve">Diversity and Inclusiveness </w:t>
            </w:r>
          </w:p>
        </w:tc>
      </w:tr>
      <w:tr w:rsidR="000D6ECE" w:rsidRPr="00C03041" w14:paraId="0190C1FA" w14:textId="77777777" w:rsidTr="003C3C7D">
        <w:trPr>
          <w:trHeight w:val="501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77DCA990" w14:textId="77777777" w:rsidR="000D6ECE" w:rsidRPr="00C03041" w:rsidRDefault="000D6ECE" w:rsidP="00E756AC">
            <w:pPr>
              <w:pStyle w:val="ListParagraph"/>
              <w:numPr>
                <w:ilvl w:val="0"/>
                <w:numId w:val="3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 culture of inclusion that celebrates and actively 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includes 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its full diversity (age, race, gender, religion, income, abilities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>,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 sexual orientation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 &amp; more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) in civic life.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6761E92E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</w:tcPr>
          <w:p w14:paraId="323B6AE5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</w:tcPr>
          <w:p w14:paraId="2C809D39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</w:tcPr>
          <w:p w14:paraId="5D1C58DD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238A093A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</w:tr>
      <w:tr w:rsidR="000D6ECE" w:rsidRPr="00C03041" w14:paraId="17AAD6E9" w14:textId="77777777" w:rsidTr="005D2D33">
        <w:trPr>
          <w:trHeight w:val="677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296E475F" w14:textId="77777777" w:rsidR="000D6ECE" w:rsidRPr="00C03041" w:rsidRDefault="00E756AC" w:rsidP="00E756AC">
            <w:pPr>
              <w:pStyle w:val="ListParagraph"/>
              <w:numPr>
                <w:ilvl w:val="0"/>
                <w:numId w:val="3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Leaders and organizations that go beyond just making opportunities available but instead actively and creatively seek to include diverse residents and unheard voices in shaping decisions</w:t>
            </w:r>
            <w:r w:rsidR="005D2D33" w:rsidRPr="00C03041">
              <w:rPr>
                <w:rFonts w:ascii="Verdana" w:hAnsi="Verdana"/>
                <w:spacing w:val="2"/>
                <w:sz w:val="18"/>
                <w:szCs w:val="20"/>
              </w:rPr>
              <w:t>.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06B4E028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</w:tcPr>
          <w:p w14:paraId="640818F0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</w:tcPr>
          <w:p w14:paraId="25B18C70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</w:tcPr>
          <w:p w14:paraId="27656D5F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79219054" w14:textId="77777777" w:rsidR="000D6ECE" w:rsidRPr="00C03041" w:rsidRDefault="000D6ECE" w:rsidP="00E756AC">
            <w:pPr>
              <w:spacing w:before="2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</w:tr>
    </w:tbl>
    <w:p w14:paraId="10036DCE" w14:textId="77777777" w:rsidR="00E756AC" w:rsidRPr="00C03041" w:rsidRDefault="00E756AC">
      <w:r w:rsidRPr="00C03041">
        <w:br w:type="page"/>
      </w:r>
    </w:p>
    <w:tbl>
      <w:tblPr>
        <w:tblStyle w:val="TableGrid"/>
        <w:tblpPr w:leftFromText="144" w:rightFromText="144" w:vertAnchor="text" w:horzAnchor="margin" w:tblpY="145"/>
        <w:tblOverlap w:val="never"/>
        <w:tblW w:w="10795" w:type="dxa"/>
        <w:tblBorders>
          <w:lef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5"/>
        <w:gridCol w:w="1046"/>
        <w:gridCol w:w="1046"/>
        <w:gridCol w:w="1046"/>
        <w:gridCol w:w="1046"/>
        <w:gridCol w:w="1046"/>
      </w:tblGrid>
      <w:tr w:rsidR="00E756AC" w:rsidRPr="00C03041" w14:paraId="7BBF03B3" w14:textId="77777777" w:rsidTr="00C03041">
        <w:trPr>
          <w:trHeight w:val="1033"/>
        </w:trPr>
        <w:tc>
          <w:tcPr>
            <w:tcW w:w="5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E984469" w14:textId="77777777" w:rsidR="00E756AC" w:rsidRPr="00C03041" w:rsidRDefault="00E756AC" w:rsidP="00E756AC">
            <w:pPr>
              <w:rPr>
                <w:rFonts w:ascii="Georgia" w:hAnsi="Georgia"/>
                <w:spacing w:val="2"/>
                <w:sz w:val="20"/>
                <w:szCs w:val="20"/>
              </w:rPr>
            </w:pPr>
          </w:p>
          <w:p w14:paraId="62856269" w14:textId="77777777" w:rsidR="00E756AC" w:rsidRPr="00C03041" w:rsidRDefault="00E756AC" w:rsidP="00E756AC">
            <w:pPr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spacing w:val="2"/>
                <w:sz w:val="20"/>
                <w:szCs w:val="20"/>
              </w:rPr>
              <w:t>Rate how well developed each of the civic infrastructure elements are within your community.</w:t>
            </w:r>
            <w:r w:rsidR="00C029CA" w:rsidRPr="00C03041">
              <w:rPr>
                <w:rFonts w:ascii="Georgia" w:hAnsi="Georgia"/>
                <w:spacing w:val="2"/>
                <w:sz w:val="20"/>
                <w:szCs w:val="20"/>
              </w:rPr>
              <w:t xml:space="preserve"> </w:t>
            </w:r>
            <w:r w:rsidRPr="00C03041">
              <w:rPr>
                <w:rFonts w:ascii="Georgia" w:hAnsi="Georgia"/>
                <w:spacing w:val="2"/>
                <w:sz w:val="20"/>
                <w:szCs w:val="20"/>
              </w:rPr>
              <w:t>Remember to consider the entire community.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321D3022" w14:textId="77777777" w:rsidR="00E756AC" w:rsidRPr="00C03041" w:rsidRDefault="00E756AC" w:rsidP="00E756AC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</w:p>
          <w:p w14:paraId="24CC67F6" w14:textId="77777777" w:rsidR="00E756AC" w:rsidRPr="00C03041" w:rsidRDefault="00E756AC" w:rsidP="00E756AC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 don't have this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BD1984" w14:textId="77777777" w:rsidR="00E756AC" w:rsidRPr="00C03041" w:rsidRDefault="00E756AC" w:rsidP="00E756AC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 xml:space="preserve">We talk about it but haven’t taken action to build it 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188ABEF" w14:textId="77777777" w:rsidR="00E756AC" w:rsidRPr="00C03041" w:rsidRDefault="00E756AC" w:rsidP="00E756AC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We’re working on it – we’ve taken steps to build this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3388E2B" w14:textId="77777777" w:rsidR="00E756AC" w:rsidRPr="00C03041" w:rsidRDefault="00E756AC" w:rsidP="00E756AC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 have a number of good examples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B2F71D" w14:textId="77777777" w:rsidR="00E756AC" w:rsidRPr="00C03041" w:rsidRDefault="00E756AC" w:rsidP="00E756AC">
            <w:pPr>
              <w:jc w:val="center"/>
              <w:rPr>
                <w:rFonts w:ascii="Georgia" w:hAnsi="Georgia"/>
                <w:spacing w:val="2"/>
                <w:sz w:val="16"/>
                <w:szCs w:val="16"/>
              </w:rPr>
            </w:pPr>
            <w:r w:rsidRPr="00C03041">
              <w:rPr>
                <w:rFonts w:ascii="Georgia" w:hAnsi="Georgia"/>
                <w:spacing w:val="2"/>
                <w:sz w:val="16"/>
                <w:szCs w:val="16"/>
              </w:rPr>
              <w:t>We have many great examples across the community</w:t>
            </w:r>
          </w:p>
        </w:tc>
      </w:tr>
      <w:tr w:rsidR="000D6ECE" w:rsidRPr="00C03041" w14:paraId="4C9410AA" w14:textId="77777777" w:rsidTr="00C03041">
        <w:trPr>
          <w:trHeight w:val="223"/>
        </w:trPr>
        <w:tc>
          <w:tcPr>
            <w:tcW w:w="107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9FDE701" w14:textId="77777777" w:rsidR="000D6ECE" w:rsidRPr="00C03041" w:rsidRDefault="000D6ECE" w:rsidP="00E756AC">
            <w:pPr>
              <w:spacing w:before="120" w:after="120"/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b/>
                <w:spacing w:val="2"/>
                <w:sz w:val="24"/>
                <w:szCs w:val="24"/>
              </w:rPr>
              <w:t xml:space="preserve">Decision-Making and Consensus-Building </w:t>
            </w:r>
          </w:p>
        </w:tc>
      </w:tr>
      <w:tr w:rsidR="000D6ECE" w:rsidRPr="00C03041" w14:paraId="504B01F7" w14:textId="77777777" w:rsidTr="00C03041">
        <w:trPr>
          <w:trHeight w:val="677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67503AE6" w14:textId="77777777" w:rsidR="000D6ECE" w:rsidRPr="00C03041" w:rsidRDefault="000D6ECE" w:rsidP="00C03041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 w:rsidRPr="00C0304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An expectation among leaders and residents that the community addresses challenges directly instead of deferring or postponing difficult decisions</w:t>
            </w:r>
            <w:r w:rsidR="578F619A" w:rsidRPr="00C03041"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and consider the short and long-te</w:t>
            </w:r>
            <w:r w:rsidR="0253E676" w:rsidRPr="00C03041"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rm </w:t>
            </w:r>
            <w:r w:rsidR="01D48403" w:rsidRPr="00C03041">
              <w:rPr>
                <w:rFonts w:ascii="Verdana" w:eastAsia="Verdana" w:hAnsi="Verdana" w:cs="Verdana"/>
                <w:spacing w:val="2"/>
                <w:sz w:val="18"/>
                <w:szCs w:val="18"/>
              </w:rPr>
              <w:t>circumstances and resources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0BF06E09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1BA1900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B5DE4A5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C19915D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5BEA8DB3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7DFAE72A" w14:textId="77777777" w:rsidTr="00C03041">
        <w:trPr>
          <w:trHeight w:val="563"/>
        </w:trPr>
        <w:tc>
          <w:tcPr>
            <w:tcW w:w="556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89736D2" w14:textId="77777777" w:rsidR="000D6ECE" w:rsidRPr="00C03041" w:rsidRDefault="000D6ECE" w:rsidP="00E756AC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An expectation among leaders and residents that the community resolve controversial issues fairly, with practical compromises and solutions. 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4" w:space="0" w:color="auto"/>
            </w:tcBorders>
          </w:tcPr>
          <w:p w14:paraId="0C1F0B2E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DFCA4FA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0051C651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5C31CD71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double" w:sz="4" w:space="0" w:color="auto"/>
            </w:tcBorders>
          </w:tcPr>
          <w:p w14:paraId="7DA354D8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4C01334E" w14:textId="77777777" w:rsidTr="00C03041">
        <w:trPr>
          <w:trHeight w:val="223"/>
        </w:trPr>
        <w:tc>
          <w:tcPr>
            <w:tcW w:w="107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D832A79" w14:textId="77777777" w:rsidR="000D6ECE" w:rsidRPr="00C03041" w:rsidRDefault="000D6ECE" w:rsidP="00E756AC">
            <w:pPr>
              <w:spacing w:before="120" w:after="120"/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b/>
                <w:spacing w:val="2"/>
                <w:sz w:val="24"/>
                <w:szCs w:val="24"/>
              </w:rPr>
              <w:t xml:space="preserve">Partnerships and Collaboration </w:t>
            </w:r>
          </w:p>
        </w:tc>
      </w:tr>
      <w:tr w:rsidR="000D6ECE" w:rsidRPr="00C03041" w14:paraId="6BD00BCB" w14:textId="77777777" w:rsidTr="00C03041">
        <w:trPr>
          <w:trHeight w:val="574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651A1EE3" w14:textId="77777777" w:rsidR="000D6ECE" w:rsidRPr="00C03041" w:rsidRDefault="000D6ECE" w:rsidP="00E756AC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Local governments in the region regularly and effectively work together to address local and communitywide challenges. 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361FC55B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BE2F432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CBF0E96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89F6409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75CD9B69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5C4D1B9A" w14:textId="77777777" w:rsidTr="00C03041">
        <w:trPr>
          <w:trHeight w:val="387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2761664E" w14:textId="77777777" w:rsidR="000D6ECE" w:rsidRPr="00C03041" w:rsidRDefault="000D6ECE" w:rsidP="00E756AC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Local governments actively and effectively partner with nonprofit groups and private sector leaders. 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5E9E860A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02892752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2B627AA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011C8B6B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3F1D2624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5325FE3E" w14:textId="77777777" w:rsidTr="00C03041">
        <w:trPr>
          <w:trHeight w:val="763"/>
        </w:trPr>
        <w:tc>
          <w:tcPr>
            <w:tcW w:w="5565" w:type="dxa"/>
            <w:tcBorders>
              <w:left w:val="double" w:sz="4" w:space="0" w:color="auto"/>
              <w:right w:val="single" w:sz="12" w:space="0" w:color="auto"/>
            </w:tcBorders>
          </w:tcPr>
          <w:p w14:paraId="1528D729" w14:textId="77777777" w:rsidR="000D6ECE" w:rsidRPr="00C03041" w:rsidRDefault="000D6ECE" w:rsidP="00E756AC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A wealth of groups that productively connect and convene people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>/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groups across traditional dividing lines 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(race, 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income, geography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>, etc</w:t>
            </w:r>
            <w:r w:rsidR="00C029CA" w:rsidRPr="00C03041">
              <w:rPr>
                <w:rFonts w:ascii="Verdana" w:hAnsi="Verdana"/>
                <w:spacing w:val="2"/>
                <w:sz w:val="18"/>
                <w:szCs w:val="20"/>
              </w:rPr>
              <w:t>.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) 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to </w:t>
            </w:r>
            <w:r w:rsidR="003C3C7D"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address 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pre</w:t>
            </w:r>
            <w:r w:rsidR="00C03041">
              <w:rPr>
                <w:rFonts w:ascii="Verdana" w:hAnsi="Verdana"/>
                <w:spacing w:val="2"/>
                <w:sz w:val="18"/>
                <w:szCs w:val="20"/>
              </w:rPr>
              <w:t>ssing conflicts and challenges.</w:t>
            </w:r>
          </w:p>
        </w:tc>
        <w:tc>
          <w:tcPr>
            <w:tcW w:w="1046" w:type="dxa"/>
            <w:tcBorders>
              <w:left w:val="single" w:sz="12" w:space="0" w:color="auto"/>
            </w:tcBorders>
          </w:tcPr>
          <w:p w14:paraId="5AD30F2B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DF9C534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20F3AE7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D536FA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14:paraId="44F05627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4CED7E1C" w14:textId="77777777" w:rsidTr="00C03041">
        <w:trPr>
          <w:trHeight w:val="152"/>
        </w:trPr>
        <w:tc>
          <w:tcPr>
            <w:tcW w:w="556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39775D3" w14:textId="77777777" w:rsidR="000D6ECE" w:rsidRPr="00C03041" w:rsidRDefault="000D6ECE" w:rsidP="00E756AC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Nonprofit groups collaborate effectively to address community problems not just seek resources. 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4" w:space="0" w:color="auto"/>
            </w:tcBorders>
          </w:tcPr>
          <w:p w14:paraId="14900FAC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75B6023D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280C64F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0144B120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double" w:sz="4" w:space="0" w:color="auto"/>
            </w:tcBorders>
          </w:tcPr>
          <w:p w14:paraId="434BC5BB" w14:textId="77777777" w:rsidR="000D6ECE" w:rsidRPr="00C03041" w:rsidRDefault="000D6ECE" w:rsidP="00E756AC">
            <w:pPr>
              <w:spacing w:before="20" w:after="120"/>
              <w:rPr>
                <w:rFonts w:ascii="ColaborateLight" w:hAnsi="ColaborateLight"/>
                <w:spacing w:val="2"/>
                <w:sz w:val="20"/>
                <w:szCs w:val="20"/>
              </w:rPr>
            </w:pPr>
          </w:p>
        </w:tc>
      </w:tr>
      <w:tr w:rsidR="000D6ECE" w:rsidRPr="00C03041" w14:paraId="38EBB316" w14:textId="77777777" w:rsidTr="00C03041">
        <w:trPr>
          <w:trHeight w:val="223"/>
        </w:trPr>
        <w:tc>
          <w:tcPr>
            <w:tcW w:w="107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E0BE20C" w14:textId="77777777" w:rsidR="000D6ECE" w:rsidRPr="00C03041" w:rsidRDefault="000D6ECE" w:rsidP="00E756AC">
            <w:pPr>
              <w:spacing w:before="120" w:after="120"/>
              <w:rPr>
                <w:rFonts w:ascii="Georgia" w:hAnsi="Georgia"/>
                <w:spacing w:val="2"/>
                <w:sz w:val="20"/>
                <w:szCs w:val="20"/>
              </w:rPr>
            </w:pPr>
            <w:r w:rsidRPr="00C03041">
              <w:rPr>
                <w:rFonts w:ascii="Georgia" w:hAnsi="Georgia"/>
                <w:b/>
                <w:spacing w:val="2"/>
                <w:sz w:val="24"/>
                <w:szCs w:val="24"/>
              </w:rPr>
              <w:t xml:space="preserve">Community Vision and Pride </w:t>
            </w:r>
          </w:p>
        </w:tc>
      </w:tr>
      <w:tr w:rsidR="000D6ECE" w:rsidRPr="00C03041" w14:paraId="3A5F790C" w14:textId="77777777" w:rsidTr="00C03041">
        <w:trPr>
          <w:trHeight w:val="387"/>
        </w:trPr>
        <w:tc>
          <w:tcPr>
            <w:tcW w:w="556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5422CD5" w14:textId="77777777" w:rsidR="000D6ECE" w:rsidRPr="00C03041" w:rsidRDefault="000D6ECE" w:rsidP="00E756AC">
            <w:pPr>
              <w:pStyle w:val="ListParagraph"/>
              <w:numPr>
                <w:ilvl w:val="0"/>
                <w:numId w:val="6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 shared vision of the community and a strong sense about what people want it to be moving forward. 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4" w:space="0" w:color="auto"/>
            </w:tcBorders>
          </w:tcPr>
          <w:p w14:paraId="16BEB90E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DCE011D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530D83C2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48849B98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double" w:sz="4" w:space="0" w:color="auto"/>
            </w:tcBorders>
          </w:tcPr>
          <w:p w14:paraId="2251E233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</w:tr>
      <w:tr w:rsidR="000D6ECE" w:rsidRPr="00C03041" w14:paraId="57D80C80" w14:textId="77777777" w:rsidTr="00C03041">
        <w:trPr>
          <w:trHeight w:val="563"/>
        </w:trPr>
        <w:tc>
          <w:tcPr>
            <w:tcW w:w="556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BB395E0" w14:textId="77777777" w:rsidR="000D6ECE" w:rsidRPr="00C03041" w:rsidRDefault="000D6ECE" w:rsidP="00E756AC">
            <w:pPr>
              <w:pStyle w:val="ListParagraph"/>
              <w:numPr>
                <w:ilvl w:val="0"/>
                <w:numId w:val="6"/>
              </w:numPr>
              <w:tabs>
                <w:tab w:val="left" w:pos="327"/>
              </w:tabs>
              <w:spacing w:before="60" w:after="120"/>
              <w:ind w:left="57" w:firstLine="0"/>
              <w:rPr>
                <w:rFonts w:ascii="Verdana" w:hAnsi="Verdana"/>
                <w:spacing w:val="2"/>
                <w:sz w:val="18"/>
                <w:szCs w:val="20"/>
              </w:rPr>
            </w:pP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 strong sense of attachment among residents to the community </w:t>
            </w:r>
            <w:r w:rsidR="00E756AC" w:rsidRPr="00C03041">
              <w:rPr>
                <w:rFonts w:ascii="Verdana" w:hAnsi="Verdana"/>
                <w:spacing w:val="2"/>
                <w:sz w:val="18"/>
                <w:szCs w:val="20"/>
              </w:rPr>
              <w:t>and their neighborhood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 </w:t>
            </w:r>
            <w:r w:rsidR="00E756AC" w:rsidRPr="00C03041">
              <w:rPr>
                <w:rFonts w:ascii="Verdana" w:hAnsi="Verdana"/>
                <w:spacing w:val="2"/>
                <w:sz w:val="18"/>
                <w:szCs w:val="20"/>
              </w:rPr>
              <w:t xml:space="preserve">along with a </w:t>
            </w:r>
            <w:r w:rsidRPr="00C03041">
              <w:rPr>
                <w:rFonts w:ascii="Verdana" w:hAnsi="Verdana"/>
                <w:spacing w:val="2"/>
                <w:sz w:val="18"/>
                <w:szCs w:val="20"/>
              </w:rPr>
              <w:t>clear sense of what makes the community unique.</w:t>
            </w:r>
          </w:p>
        </w:tc>
        <w:tc>
          <w:tcPr>
            <w:tcW w:w="1046" w:type="dxa"/>
            <w:tcBorders>
              <w:left w:val="single" w:sz="12" w:space="0" w:color="auto"/>
              <w:bottom w:val="double" w:sz="4" w:space="0" w:color="auto"/>
            </w:tcBorders>
          </w:tcPr>
          <w:p w14:paraId="3389AE62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43F3B0C1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76D0BD11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40F23707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  <w:tc>
          <w:tcPr>
            <w:tcW w:w="1046" w:type="dxa"/>
            <w:tcBorders>
              <w:bottom w:val="double" w:sz="4" w:space="0" w:color="auto"/>
              <w:right w:val="double" w:sz="4" w:space="0" w:color="auto"/>
            </w:tcBorders>
          </w:tcPr>
          <w:p w14:paraId="2735D924" w14:textId="77777777" w:rsidR="000D6ECE" w:rsidRPr="00C03041" w:rsidRDefault="000D6ECE" w:rsidP="00E756AC">
            <w:pPr>
              <w:spacing w:before="60" w:after="120"/>
              <w:rPr>
                <w:rFonts w:ascii="Verdana" w:hAnsi="Verdana"/>
                <w:spacing w:val="2"/>
                <w:sz w:val="18"/>
                <w:szCs w:val="20"/>
              </w:rPr>
            </w:pPr>
          </w:p>
        </w:tc>
      </w:tr>
    </w:tbl>
    <w:p w14:paraId="16645CD9" w14:textId="77777777" w:rsidR="006437C3" w:rsidRPr="00C03041" w:rsidRDefault="006437C3" w:rsidP="006437C3">
      <w:pPr>
        <w:spacing w:line="240" w:lineRule="auto"/>
        <w:rPr>
          <w:rFonts w:ascii="Georgia" w:hAnsi="Georgia"/>
          <w:b/>
          <w:sz w:val="30"/>
          <w:szCs w:val="30"/>
        </w:rPr>
      </w:pPr>
      <w:r w:rsidRPr="00C03041">
        <w:rPr>
          <w:rFonts w:ascii="Georgia" w:hAnsi="Georgia"/>
          <w:sz w:val="21"/>
          <w:szCs w:val="21"/>
        </w:rPr>
        <w:br/>
      </w:r>
      <w:r w:rsidRPr="00C03041">
        <w:rPr>
          <w:rFonts w:ascii="Georgia" w:hAnsi="Georgia"/>
          <w:b/>
          <w:sz w:val="30"/>
          <w:szCs w:val="30"/>
        </w:rPr>
        <w:t>Discussion and Reflection</w:t>
      </w:r>
    </w:p>
    <w:p w14:paraId="234ABC36" w14:textId="77777777" w:rsidR="006437C3" w:rsidRPr="00C03041" w:rsidRDefault="006437C3" w:rsidP="00C029CA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C03041">
        <w:rPr>
          <w:rFonts w:ascii="Georgia" w:hAnsi="Georgia"/>
          <w:sz w:val="21"/>
          <w:szCs w:val="21"/>
        </w:rPr>
        <w:t>As you look back over your answers, take a few minutes to reflect</w:t>
      </w:r>
      <w:r w:rsidR="008A4123">
        <w:rPr>
          <w:rFonts w:ascii="Georgia" w:hAnsi="Georgia"/>
          <w:sz w:val="21"/>
          <w:szCs w:val="21"/>
        </w:rPr>
        <w:t xml:space="preserve">, </w:t>
      </w:r>
      <w:r w:rsidRPr="00C03041">
        <w:rPr>
          <w:rFonts w:ascii="Georgia" w:hAnsi="Georgia"/>
          <w:sz w:val="21"/>
          <w:szCs w:val="21"/>
        </w:rPr>
        <w:t>either on your own or with others in your group or organization.</w:t>
      </w:r>
      <w:r w:rsidR="00C029CA" w:rsidRPr="00C03041">
        <w:rPr>
          <w:rFonts w:ascii="Georgia" w:hAnsi="Georgia"/>
          <w:sz w:val="21"/>
          <w:szCs w:val="21"/>
        </w:rPr>
        <w:t xml:space="preserve"> </w:t>
      </w:r>
      <w:r w:rsidRPr="00C03041">
        <w:rPr>
          <w:rFonts w:ascii="Georgia" w:hAnsi="Georgia"/>
          <w:sz w:val="21"/>
          <w:szCs w:val="21"/>
        </w:rPr>
        <w:t>What stands out?</w:t>
      </w:r>
      <w:r w:rsidR="00C029CA" w:rsidRPr="00C03041">
        <w:rPr>
          <w:rFonts w:ascii="Georgia" w:hAnsi="Georgia"/>
          <w:sz w:val="21"/>
          <w:szCs w:val="21"/>
        </w:rPr>
        <w:t xml:space="preserve"> </w:t>
      </w:r>
      <w:r w:rsidRPr="00C03041">
        <w:rPr>
          <w:rFonts w:ascii="Georgia" w:hAnsi="Georgia"/>
          <w:sz w:val="21"/>
          <w:szCs w:val="21"/>
        </w:rPr>
        <w:t>What, if anything, surprised you?</w:t>
      </w:r>
    </w:p>
    <w:p w14:paraId="0523331F" w14:textId="77777777" w:rsidR="006437C3" w:rsidRPr="00C03041" w:rsidRDefault="006437C3" w:rsidP="00C029CA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</w:p>
    <w:p w14:paraId="326CD506" w14:textId="77777777" w:rsidR="006437C3" w:rsidRPr="00C03041" w:rsidRDefault="006437C3" w:rsidP="00C029CA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  <w:r w:rsidRPr="00C03041">
        <w:rPr>
          <w:rFonts w:ascii="Georgia" w:hAnsi="Georgia"/>
          <w:b/>
          <w:sz w:val="21"/>
          <w:szCs w:val="21"/>
        </w:rPr>
        <w:t>Ask yourself, or those in your group</w:t>
      </w:r>
      <w:r w:rsidR="008F17A8" w:rsidRPr="00C03041">
        <w:rPr>
          <w:rFonts w:ascii="Georgia" w:hAnsi="Georgia"/>
          <w:b/>
          <w:sz w:val="21"/>
          <w:szCs w:val="21"/>
        </w:rPr>
        <w:t>,</w:t>
      </w:r>
      <w:r w:rsidRPr="00C03041">
        <w:rPr>
          <w:rFonts w:ascii="Georgia" w:hAnsi="Georgia"/>
          <w:b/>
          <w:sz w:val="21"/>
          <w:szCs w:val="21"/>
        </w:rPr>
        <w:t xml:space="preserve"> the following questions:</w:t>
      </w:r>
    </w:p>
    <w:p w14:paraId="143519D4" w14:textId="77777777" w:rsidR="006437C3" w:rsidRPr="00C03041" w:rsidRDefault="006437C3" w:rsidP="00C029CA">
      <w:pPr>
        <w:pStyle w:val="ListParagraph"/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542C9AE7" w14:textId="77777777" w:rsidR="006437C3" w:rsidRPr="00C03041" w:rsidRDefault="006437C3" w:rsidP="00C029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C03041">
        <w:rPr>
          <w:rFonts w:ascii="Georgia" w:hAnsi="Georgia"/>
          <w:sz w:val="21"/>
          <w:szCs w:val="21"/>
        </w:rPr>
        <w:t>Where does</w:t>
      </w:r>
      <w:r w:rsidR="008F17A8" w:rsidRPr="00C03041">
        <w:rPr>
          <w:rFonts w:ascii="Georgia" w:hAnsi="Georgia"/>
          <w:sz w:val="21"/>
          <w:szCs w:val="21"/>
        </w:rPr>
        <w:t xml:space="preserve"> our</w:t>
      </w:r>
      <w:r w:rsidRPr="00C03041">
        <w:rPr>
          <w:rFonts w:ascii="Georgia" w:hAnsi="Georgia"/>
          <w:sz w:val="21"/>
          <w:szCs w:val="21"/>
        </w:rPr>
        <w:t xml:space="preserve"> community really shine?</w:t>
      </w:r>
      <w:r w:rsidR="00C029CA" w:rsidRPr="00C03041">
        <w:rPr>
          <w:rFonts w:ascii="Georgia" w:hAnsi="Georgia"/>
          <w:sz w:val="21"/>
          <w:szCs w:val="21"/>
        </w:rPr>
        <w:t xml:space="preserve"> </w:t>
      </w:r>
      <w:r w:rsidR="008F17A8" w:rsidRPr="00C03041">
        <w:rPr>
          <w:rFonts w:ascii="Georgia" w:hAnsi="Georgia"/>
          <w:sz w:val="21"/>
          <w:szCs w:val="21"/>
        </w:rPr>
        <w:t>What are our strongest civic assets?</w:t>
      </w:r>
    </w:p>
    <w:p w14:paraId="4E3F754C" w14:textId="77777777" w:rsidR="006437C3" w:rsidRPr="00C03041" w:rsidRDefault="006437C3" w:rsidP="00C029CA">
      <w:pPr>
        <w:pStyle w:val="ListParagraph"/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7383B53B" w14:textId="77777777" w:rsidR="006437C3" w:rsidRPr="00C03041" w:rsidRDefault="006437C3" w:rsidP="00C029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C03041">
        <w:rPr>
          <w:rFonts w:ascii="Georgia" w:hAnsi="Georgia"/>
          <w:sz w:val="21"/>
          <w:szCs w:val="21"/>
        </w:rPr>
        <w:t>What areas can you and others target to help build a stronger civic infrastructure?</w:t>
      </w:r>
      <w:r w:rsidR="00407277" w:rsidRPr="00C03041">
        <w:rPr>
          <w:rFonts w:ascii="Georgia" w:hAnsi="Georgia"/>
          <w:sz w:val="21"/>
          <w:szCs w:val="21"/>
        </w:rPr>
        <w:t xml:space="preserve"> </w:t>
      </w:r>
    </w:p>
    <w:p w14:paraId="1ECC835C" w14:textId="77777777" w:rsidR="006437C3" w:rsidRPr="00C03041" w:rsidRDefault="006437C3" w:rsidP="00C029CA">
      <w:pPr>
        <w:pStyle w:val="ListParagraph"/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26D81BB1" w14:textId="77777777" w:rsidR="006437C3" w:rsidRPr="00C03041" w:rsidRDefault="006437C3" w:rsidP="00C029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C03041">
        <w:rPr>
          <w:rFonts w:ascii="Georgia" w:hAnsi="Georgia"/>
          <w:sz w:val="21"/>
          <w:szCs w:val="21"/>
        </w:rPr>
        <w:t>How would others from different parts of the community, or with different life experiences answer these same questions?</w:t>
      </w:r>
      <w:r w:rsidR="00C029CA" w:rsidRPr="00C03041">
        <w:rPr>
          <w:rFonts w:ascii="Georgia" w:hAnsi="Georgia"/>
          <w:sz w:val="21"/>
          <w:szCs w:val="21"/>
        </w:rPr>
        <w:t xml:space="preserve"> </w:t>
      </w:r>
    </w:p>
    <w:p w14:paraId="4BAB22C7" w14:textId="77777777" w:rsidR="006437C3" w:rsidRPr="00C03041" w:rsidRDefault="006437C3" w:rsidP="00C029CA">
      <w:pPr>
        <w:pStyle w:val="ListParagraph"/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7F61FF16" w14:textId="77777777" w:rsidR="006437C3" w:rsidRPr="00C03041" w:rsidRDefault="006437C3" w:rsidP="00C029C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eorgia" w:hAnsi="Georgia"/>
          <w:sz w:val="21"/>
          <w:szCs w:val="21"/>
        </w:rPr>
      </w:pPr>
      <w:r w:rsidRPr="00C03041">
        <w:rPr>
          <w:rFonts w:ascii="Georgia" w:hAnsi="Georgia"/>
          <w:sz w:val="21"/>
          <w:szCs w:val="21"/>
        </w:rPr>
        <w:t>How you can you leverage your strengths to help build capacity in areas that are less developed?</w:t>
      </w:r>
    </w:p>
    <w:p w14:paraId="6D83E42D" w14:textId="77777777" w:rsidR="009D588B" w:rsidRPr="00C03041" w:rsidRDefault="009D588B" w:rsidP="00C029CA">
      <w:pPr>
        <w:pStyle w:val="ListParagraph"/>
        <w:jc w:val="both"/>
        <w:rPr>
          <w:rFonts w:ascii="Georgia" w:hAnsi="Georgia"/>
          <w:sz w:val="21"/>
          <w:szCs w:val="21"/>
        </w:rPr>
      </w:pPr>
    </w:p>
    <w:p w14:paraId="77D595D8" w14:textId="77777777" w:rsidR="009D588B" w:rsidRPr="00C03041" w:rsidRDefault="009D588B" w:rsidP="00C029C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eorgia" w:hAnsi="Georgia"/>
          <w:sz w:val="21"/>
          <w:szCs w:val="21"/>
        </w:rPr>
      </w:pPr>
      <w:r w:rsidRPr="00C03041">
        <w:rPr>
          <w:rFonts w:ascii="Georgia" w:hAnsi="Georgia"/>
          <w:sz w:val="21"/>
          <w:szCs w:val="21"/>
        </w:rPr>
        <w:t>Who else should we use this quiz with in order to better understand the community?</w:t>
      </w:r>
    </w:p>
    <w:sectPr w:rsidR="009D588B" w:rsidRPr="00C03041" w:rsidSect="00C03041">
      <w:footerReference w:type="default" r:id="rId1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D376" w14:textId="77777777" w:rsidR="003B643A" w:rsidRDefault="003B643A" w:rsidP="00AB53BC">
      <w:pPr>
        <w:spacing w:after="0" w:line="240" w:lineRule="auto"/>
      </w:pPr>
      <w:r>
        <w:separator/>
      </w:r>
    </w:p>
  </w:endnote>
  <w:endnote w:type="continuationSeparator" w:id="0">
    <w:p w14:paraId="7D0DBAEB" w14:textId="77777777" w:rsidR="003B643A" w:rsidRDefault="003B643A" w:rsidP="00A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A734" w14:textId="77777777" w:rsidR="00AB53BC" w:rsidRPr="00AB53BC" w:rsidRDefault="00AB53BC" w:rsidP="00AB53BC">
    <w:pPr>
      <w:pStyle w:val="Footer"/>
      <w:jc w:val="center"/>
      <w:rPr>
        <w:b/>
        <w:i/>
      </w:rPr>
    </w:pPr>
    <w:r>
      <w:rPr>
        <w:b/>
        <w:i/>
      </w:rPr>
      <w:t xml:space="preserve">Civic Index </w:t>
    </w:r>
    <w:r w:rsidR="00203C5B">
      <w:rPr>
        <w:b/>
        <w:i/>
      </w:rPr>
      <w:t>Quick Quiz</w:t>
    </w:r>
    <w:r>
      <w:rPr>
        <w:b/>
        <w:i/>
      </w:rPr>
      <w:br/>
    </w:r>
    <w:r w:rsidRPr="00AB53BC">
      <w:rPr>
        <w:b/>
        <w:i/>
      </w:rPr>
      <w:t>www.nationalcivicleague.org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8456" w14:textId="77777777" w:rsidR="003B643A" w:rsidRDefault="003B643A" w:rsidP="00AB53BC">
      <w:pPr>
        <w:spacing w:after="0" w:line="240" w:lineRule="auto"/>
      </w:pPr>
      <w:r>
        <w:separator/>
      </w:r>
    </w:p>
  </w:footnote>
  <w:footnote w:type="continuationSeparator" w:id="0">
    <w:p w14:paraId="2729EE35" w14:textId="77777777" w:rsidR="003B643A" w:rsidRDefault="003B643A" w:rsidP="00AB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3AD"/>
    <w:multiLevelType w:val="hybridMultilevel"/>
    <w:tmpl w:val="E440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5D2D"/>
    <w:multiLevelType w:val="hybridMultilevel"/>
    <w:tmpl w:val="9F8A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7B9"/>
    <w:multiLevelType w:val="hybridMultilevel"/>
    <w:tmpl w:val="6866A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A5706"/>
    <w:multiLevelType w:val="hybridMultilevel"/>
    <w:tmpl w:val="8B24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6789"/>
    <w:multiLevelType w:val="hybridMultilevel"/>
    <w:tmpl w:val="76AE7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7628"/>
    <w:multiLevelType w:val="hybridMultilevel"/>
    <w:tmpl w:val="4EF0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A051C"/>
    <w:multiLevelType w:val="hybridMultilevel"/>
    <w:tmpl w:val="42EE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41"/>
    <w:rsid w:val="00026512"/>
    <w:rsid w:val="00037B9D"/>
    <w:rsid w:val="00092393"/>
    <w:rsid w:val="000C182A"/>
    <w:rsid w:val="000C1FD7"/>
    <w:rsid w:val="000D6ECE"/>
    <w:rsid w:val="00165E88"/>
    <w:rsid w:val="00167905"/>
    <w:rsid w:val="001A3F47"/>
    <w:rsid w:val="001F510A"/>
    <w:rsid w:val="00203C5B"/>
    <w:rsid w:val="00222D13"/>
    <w:rsid w:val="0028675D"/>
    <w:rsid w:val="002A0BF8"/>
    <w:rsid w:val="002A35E4"/>
    <w:rsid w:val="002D1178"/>
    <w:rsid w:val="002E73C0"/>
    <w:rsid w:val="00336D13"/>
    <w:rsid w:val="00342C4B"/>
    <w:rsid w:val="00356F76"/>
    <w:rsid w:val="003B643A"/>
    <w:rsid w:val="003C3C7D"/>
    <w:rsid w:val="003D3BE7"/>
    <w:rsid w:val="003D4CF0"/>
    <w:rsid w:val="003F5BC2"/>
    <w:rsid w:val="00407277"/>
    <w:rsid w:val="00420B02"/>
    <w:rsid w:val="004C7476"/>
    <w:rsid w:val="004D3B18"/>
    <w:rsid w:val="004D6806"/>
    <w:rsid w:val="004E64F5"/>
    <w:rsid w:val="004F1F2E"/>
    <w:rsid w:val="00513EFE"/>
    <w:rsid w:val="00595B26"/>
    <w:rsid w:val="005D2D33"/>
    <w:rsid w:val="005D49DF"/>
    <w:rsid w:val="0060015F"/>
    <w:rsid w:val="00635DA6"/>
    <w:rsid w:val="00637EF5"/>
    <w:rsid w:val="006437C3"/>
    <w:rsid w:val="00655FC3"/>
    <w:rsid w:val="006A5594"/>
    <w:rsid w:val="00702B09"/>
    <w:rsid w:val="00717F5D"/>
    <w:rsid w:val="00742225"/>
    <w:rsid w:val="00781614"/>
    <w:rsid w:val="008328E1"/>
    <w:rsid w:val="00854F99"/>
    <w:rsid w:val="00863F87"/>
    <w:rsid w:val="0087080B"/>
    <w:rsid w:val="00870CE8"/>
    <w:rsid w:val="008A4123"/>
    <w:rsid w:val="008E5F0C"/>
    <w:rsid w:val="008F17A8"/>
    <w:rsid w:val="00922D41"/>
    <w:rsid w:val="00951065"/>
    <w:rsid w:val="00956717"/>
    <w:rsid w:val="0097070C"/>
    <w:rsid w:val="0097098B"/>
    <w:rsid w:val="009B3062"/>
    <w:rsid w:val="009D588B"/>
    <w:rsid w:val="009D7CF5"/>
    <w:rsid w:val="009E52FC"/>
    <w:rsid w:val="009F7A7E"/>
    <w:rsid w:val="00A020B1"/>
    <w:rsid w:val="00A53B91"/>
    <w:rsid w:val="00A7330C"/>
    <w:rsid w:val="00AB3DD3"/>
    <w:rsid w:val="00AB53BC"/>
    <w:rsid w:val="00B24C06"/>
    <w:rsid w:val="00B2509D"/>
    <w:rsid w:val="00B50F15"/>
    <w:rsid w:val="00B54C70"/>
    <w:rsid w:val="00B571B7"/>
    <w:rsid w:val="00B87B67"/>
    <w:rsid w:val="00BC6D18"/>
    <w:rsid w:val="00C029CA"/>
    <w:rsid w:val="00C03041"/>
    <w:rsid w:val="00C100DF"/>
    <w:rsid w:val="00C11B14"/>
    <w:rsid w:val="00C42635"/>
    <w:rsid w:val="00C63F93"/>
    <w:rsid w:val="00C72F94"/>
    <w:rsid w:val="00C85423"/>
    <w:rsid w:val="00CC7A45"/>
    <w:rsid w:val="00CE2BE1"/>
    <w:rsid w:val="00D22F8D"/>
    <w:rsid w:val="00D4689F"/>
    <w:rsid w:val="00D57AF9"/>
    <w:rsid w:val="00D62E87"/>
    <w:rsid w:val="00D6430F"/>
    <w:rsid w:val="00D95C45"/>
    <w:rsid w:val="00DA2175"/>
    <w:rsid w:val="00DD526B"/>
    <w:rsid w:val="00DF0FC7"/>
    <w:rsid w:val="00E21400"/>
    <w:rsid w:val="00E22D19"/>
    <w:rsid w:val="00E659E0"/>
    <w:rsid w:val="00E756AC"/>
    <w:rsid w:val="00E76A7C"/>
    <w:rsid w:val="00E91E4C"/>
    <w:rsid w:val="00E93115"/>
    <w:rsid w:val="00EB51FA"/>
    <w:rsid w:val="00EB7F41"/>
    <w:rsid w:val="00EC101E"/>
    <w:rsid w:val="00ED1E2D"/>
    <w:rsid w:val="00F17968"/>
    <w:rsid w:val="00F634D5"/>
    <w:rsid w:val="00FD55CE"/>
    <w:rsid w:val="00FE19AF"/>
    <w:rsid w:val="00FE6C36"/>
    <w:rsid w:val="01D48403"/>
    <w:rsid w:val="0253E676"/>
    <w:rsid w:val="578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F1E2"/>
  <w15:chartTrackingRefBased/>
  <w15:docId w15:val="{44463B70-F907-4F3C-A206-1795765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BC"/>
  </w:style>
  <w:style w:type="paragraph" w:styleId="Footer">
    <w:name w:val="footer"/>
    <w:basedOn w:val="Normal"/>
    <w:link w:val="FooterChar"/>
    <w:uiPriority w:val="99"/>
    <w:unhideWhenUsed/>
    <w:rsid w:val="00AB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6002B03E66049A3DCA051E820475D" ma:contentTypeVersion="0" ma:contentTypeDescription="Create a new document." ma:contentTypeScope="" ma:versionID="53518cf7654a1ce4982b9d927a0aa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DF047-EEC9-4A4A-84B9-865403D68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81585-7DEB-450A-A13A-3D4915DD5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0666-8495-4F9E-9BF8-FDE7400AAC82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Leavy</dc:creator>
  <cp:keywords/>
  <dc:description/>
  <cp:lastModifiedBy>Sarah Lipscomb</cp:lastModifiedBy>
  <cp:revision>2</cp:revision>
  <cp:lastPrinted>2015-09-16T17:57:00Z</cp:lastPrinted>
  <dcterms:created xsi:type="dcterms:W3CDTF">2017-01-20T21:00:00Z</dcterms:created>
  <dcterms:modified xsi:type="dcterms:W3CDTF">2017-01-20T21:00:00Z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0x0101008526002B03E66049A3DCA051E820475D</vt:lpwstr>
  </property>
</Properties>
</file>